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92C7E" w14:textId="77777777" w:rsidR="00CF6ECF" w:rsidRDefault="00CF6ECF" w:rsidP="00CD4C7B">
      <w:pPr>
        <w:pStyle w:val="Header"/>
        <w:tabs>
          <w:tab w:val="right" w:pos="9639"/>
        </w:tabs>
        <w:rPr>
          <w:bCs/>
          <w:noProof w:val="0"/>
          <w:sz w:val="24"/>
          <w:szCs w:val="24"/>
        </w:rPr>
      </w:pPr>
    </w:p>
    <w:p w14:paraId="40C36556" w14:textId="325F1034"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786399">
        <w:rPr>
          <w:noProof w:val="0"/>
          <w:sz w:val="24"/>
          <w:szCs w:val="24"/>
        </w:rPr>
        <w:t>NR Adhoc #3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C17ED2">
        <w:rPr>
          <w:bCs/>
          <w:noProof w:val="0"/>
          <w:sz w:val="24"/>
          <w:szCs w:val="24"/>
        </w:rPr>
        <w:t>8</w:t>
      </w:r>
      <w:r w:rsidR="00C17ED2" w:rsidRPr="00C17ED2">
        <w:rPr>
          <w:bCs/>
          <w:noProof w:val="0"/>
          <w:sz w:val="24"/>
          <w:szCs w:val="24"/>
        </w:rPr>
        <w:t>00391</w:t>
      </w:r>
    </w:p>
    <w:p w14:paraId="231362B2" w14:textId="3725CDC8" w:rsidR="00CD4C7B" w:rsidRPr="00B266B0" w:rsidRDefault="00786399" w:rsidP="00CD4C7B">
      <w:pPr>
        <w:pStyle w:val="Header"/>
        <w:tabs>
          <w:tab w:val="right" w:pos="9639"/>
        </w:tabs>
        <w:rPr>
          <w:bCs/>
          <w:noProof w:val="0"/>
          <w:sz w:val="24"/>
          <w:szCs w:val="24"/>
        </w:rPr>
      </w:pPr>
      <w:r>
        <w:rPr>
          <w:rFonts w:eastAsia="SimSun"/>
          <w:noProof w:val="0"/>
          <w:sz w:val="24"/>
          <w:szCs w:val="24"/>
          <w:lang w:eastAsia="zh-CN"/>
        </w:rPr>
        <w:t>Vancouver</w:t>
      </w:r>
      <w:r w:rsidR="00C24650" w:rsidRPr="00C24650">
        <w:rPr>
          <w:rFonts w:eastAsia="SimSun"/>
          <w:noProof w:val="0"/>
          <w:sz w:val="24"/>
          <w:szCs w:val="24"/>
          <w:lang w:eastAsia="zh-CN"/>
        </w:rPr>
        <w:t xml:space="preserve">, </w:t>
      </w:r>
      <w:r>
        <w:rPr>
          <w:rFonts w:eastAsia="SimSun"/>
          <w:noProof w:val="0"/>
          <w:sz w:val="24"/>
          <w:szCs w:val="24"/>
          <w:lang w:eastAsia="zh-CN"/>
        </w:rPr>
        <w:t>Canada</w:t>
      </w:r>
      <w:r w:rsidR="00C24650" w:rsidRPr="00C24650">
        <w:rPr>
          <w:rFonts w:eastAsia="SimSun"/>
          <w:noProof w:val="0"/>
          <w:sz w:val="24"/>
          <w:szCs w:val="24"/>
          <w:lang w:eastAsia="zh-CN"/>
        </w:rPr>
        <w:t xml:space="preserve">, </w:t>
      </w:r>
      <w:r>
        <w:rPr>
          <w:rFonts w:eastAsia="SimSun"/>
          <w:noProof w:val="0"/>
          <w:sz w:val="24"/>
          <w:szCs w:val="24"/>
          <w:lang w:eastAsia="zh-CN"/>
        </w:rPr>
        <w:t>22</w:t>
      </w:r>
      <w:r w:rsidR="00C92967">
        <w:rPr>
          <w:rFonts w:eastAsia="SimSun"/>
          <w:noProof w:val="0"/>
          <w:sz w:val="24"/>
          <w:szCs w:val="24"/>
          <w:lang w:eastAsia="zh-CN"/>
        </w:rPr>
        <w:t xml:space="preserve"> - </w:t>
      </w:r>
      <w:r>
        <w:rPr>
          <w:rFonts w:eastAsia="SimSun"/>
          <w:noProof w:val="0"/>
          <w:sz w:val="24"/>
          <w:szCs w:val="24"/>
          <w:lang w:eastAsia="zh-CN"/>
        </w:rPr>
        <w:t>26</w:t>
      </w:r>
      <w:r w:rsidR="00C92967">
        <w:rPr>
          <w:rFonts w:eastAsia="SimSun"/>
          <w:noProof w:val="0"/>
          <w:sz w:val="24"/>
          <w:szCs w:val="24"/>
          <w:lang w:eastAsia="zh-CN"/>
        </w:rPr>
        <w:t xml:space="preserve"> </w:t>
      </w:r>
      <w:r w:rsidR="00112F1A">
        <w:rPr>
          <w:rFonts w:eastAsia="SimSun"/>
          <w:noProof w:val="0"/>
          <w:sz w:val="24"/>
          <w:szCs w:val="24"/>
          <w:lang w:eastAsia="zh-CN"/>
        </w:rPr>
        <w:t>J</w:t>
      </w:r>
      <w:r>
        <w:rPr>
          <w:rFonts w:eastAsia="SimSun"/>
          <w:noProof w:val="0"/>
          <w:sz w:val="24"/>
          <w:szCs w:val="24"/>
          <w:lang w:eastAsia="zh-CN"/>
        </w:rPr>
        <w:t>anuary</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13A498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34B01">
        <w:rPr>
          <w:rFonts w:cs="Arial"/>
          <w:b/>
          <w:bCs/>
          <w:sz w:val="24"/>
          <w:lang w:eastAsia="ja-JP"/>
        </w:rPr>
        <w:t>11.1</w:t>
      </w:r>
    </w:p>
    <w:p w14:paraId="6A1BC0C1" w14:textId="4B2EA55D"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86399">
        <w:rPr>
          <w:rFonts w:ascii="Arial" w:hAnsi="Arial" w:cs="Arial"/>
          <w:b/>
          <w:bCs/>
          <w:sz w:val="24"/>
        </w:rPr>
        <w:t>Nokia</w:t>
      </w:r>
      <w:r w:rsidR="00090468">
        <w:rPr>
          <w:rFonts w:ascii="Arial" w:hAnsi="Arial" w:cs="Arial"/>
          <w:b/>
          <w:bCs/>
          <w:sz w:val="24"/>
        </w:rPr>
        <w:t xml:space="preserve"> Shanghai Bell</w:t>
      </w:r>
    </w:p>
    <w:p w14:paraId="45BE90BE" w14:textId="351CE95F" w:rsidR="00CD4C7B" w:rsidRDefault="00F350C5"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t>Relaying in NSA Network</w:t>
      </w:r>
    </w:p>
    <w:p w14:paraId="3AC3A0B1" w14:textId="3268D13C"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81D1D">
        <w:rPr>
          <w:rFonts w:ascii="Arial" w:hAnsi="Arial" w:cs="Arial"/>
          <w:b/>
          <w:bCs/>
          <w:sz w:val="24"/>
        </w:rPr>
        <w:t>FS_NR_</w:t>
      </w:r>
      <w:r w:rsidR="00AC7D3B" w:rsidRPr="00AC7D3B">
        <w:rPr>
          <w:rFonts w:ascii="Arial" w:hAnsi="Arial" w:cs="Arial"/>
          <w:b/>
          <w:bCs/>
          <w:sz w:val="24"/>
        </w:rPr>
        <w:t>IAB</w:t>
      </w:r>
      <w:r w:rsidR="00AC7D3B">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62C8EE64" w:rsidR="00CD4C7B" w:rsidRDefault="00B152B7" w:rsidP="00CD4C7B">
      <w:r>
        <w:t xml:space="preserve">Initial </w:t>
      </w:r>
      <w:r w:rsidR="00D95BE7">
        <w:t xml:space="preserve">5G </w:t>
      </w:r>
      <w:r>
        <w:t xml:space="preserve">deployments may </w:t>
      </w:r>
      <w:r w:rsidR="00D95BE7">
        <w:t xml:space="preserve">be done as </w:t>
      </w:r>
      <w:r>
        <w:t xml:space="preserve">non-stand-alone (NSA) </w:t>
      </w:r>
      <w:r w:rsidR="00D95BE7">
        <w:t xml:space="preserve">network </w:t>
      </w:r>
      <w:r>
        <w:t xml:space="preserve">relying on </w:t>
      </w:r>
      <w:r w:rsidR="00D95BE7">
        <w:t xml:space="preserve">(existing) </w:t>
      </w:r>
      <w:r>
        <w:t xml:space="preserve">LTE </w:t>
      </w:r>
      <w:r w:rsidR="00D95BE7">
        <w:t xml:space="preserve">network as the master with the NR extension as secondary nodes. Access and </w:t>
      </w:r>
      <w:r>
        <w:t xml:space="preserve">control signalling </w:t>
      </w:r>
      <w:r w:rsidR="00D95BE7">
        <w:t xml:space="preserve">will be done via the LTE network whereas the </w:t>
      </w:r>
      <w:r>
        <w:t xml:space="preserve">data </w:t>
      </w:r>
      <w:r w:rsidR="00D95BE7">
        <w:t>connections may utilize the higher throughputs over the NR connection.</w:t>
      </w:r>
    </w:p>
    <w:p w14:paraId="516E4C51" w14:textId="7202969D" w:rsidR="00D95BE7" w:rsidRDefault="00D95BE7" w:rsidP="00CD4C7B">
      <w:r>
        <w:t>This contribution discusse</w:t>
      </w:r>
      <w:r w:rsidR="002B79B3">
        <w:t>s</w:t>
      </w:r>
      <w:r>
        <w:t xml:space="preserve"> the options </w:t>
      </w:r>
      <w:r w:rsidR="002B79B3">
        <w:t xml:space="preserve">of </w:t>
      </w:r>
      <w:bookmarkStart w:id="1" w:name="_GoBack"/>
      <w:bookmarkEnd w:id="1"/>
      <w:r>
        <w:t>how the NR relaying using the IAB operation could be applied in the NSA network</w:t>
      </w:r>
      <w:r w:rsidR="00A97AC1">
        <w:t>.</w:t>
      </w:r>
    </w:p>
    <w:p w14:paraId="2C34997C" w14:textId="77777777" w:rsidR="00B152B7" w:rsidRDefault="00B152B7" w:rsidP="00CD4C7B"/>
    <w:p w14:paraId="5FF0E443" w14:textId="1ED94A6E" w:rsidR="00CD4C7B" w:rsidRPr="006E13D1" w:rsidRDefault="00B41564" w:rsidP="00CD4C7B">
      <w:pPr>
        <w:pStyle w:val="Heading1"/>
      </w:pPr>
      <w:r>
        <w:t>2</w:t>
      </w:r>
      <w:r>
        <w:tab/>
        <w:t>Discussion</w:t>
      </w:r>
    </w:p>
    <w:p w14:paraId="3771C9CA" w14:textId="5BFE52AE" w:rsidR="00CD4C7B" w:rsidRDefault="00B41564" w:rsidP="00CD4C7B">
      <w:pPr>
        <w:pStyle w:val="Heading2"/>
      </w:pPr>
      <w:r>
        <w:t>2</w:t>
      </w:r>
      <w:r w:rsidR="00A97AC1">
        <w:t>.1</w:t>
      </w:r>
      <w:r w:rsidR="00A97AC1">
        <w:tab/>
        <w:t>Architecture assumptions</w:t>
      </w:r>
    </w:p>
    <w:p w14:paraId="46B6D22D" w14:textId="300EA41A" w:rsidR="00A97AC1" w:rsidRPr="00A97AC1" w:rsidRDefault="00A97AC1" w:rsidP="00A97AC1">
      <w:r>
        <w:t>LTE eNBs being the master nodes may be connected to the EPC (architecture options 3/3a/3x). UE establishes the connection via LTE</w:t>
      </w:r>
      <w:r w:rsidR="00C81D1D">
        <w:t>,</w:t>
      </w:r>
      <w:r>
        <w:t xml:space="preserve"> and NR connection can be set up as a dual connectivity with LTE (EN-DC). </w:t>
      </w:r>
    </w:p>
    <w:p w14:paraId="696EB965" w14:textId="70C09E97" w:rsidR="00A97AC1" w:rsidRPr="003424B3" w:rsidRDefault="00A97AC1" w:rsidP="00A97AC1">
      <w:pPr>
        <w:rPr>
          <w:lang w:val="en-US"/>
        </w:rPr>
      </w:pPr>
      <w:r w:rsidRPr="003424B3">
        <w:rPr>
          <w:lang w:val="en-US"/>
        </w:rPr>
        <w:t xml:space="preserve">As an example, we present a case where IAB is implemented in a </w:t>
      </w:r>
      <w:r w:rsidR="008550B0" w:rsidRPr="003424B3">
        <w:rPr>
          <w:lang w:val="en-US"/>
        </w:rPr>
        <w:t>3a architecture, i.e. where RAN is connected to EPC</w:t>
      </w:r>
      <w:r w:rsidR="00C81D1D">
        <w:rPr>
          <w:lang w:val="en-US"/>
        </w:rPr>
        <w:t xml:space="preserve"> and both eNB and gNB have S1-U connection to EPC</w:t>
      </w:r>
      <w:r w:rsidR="008550B0" w:rsidRPr="003424B3">
        <w:rPr>
          <w:lang w:val="en-US"/>
        </w:rPr>
        <w:t xml:space="preserve">. </w:t>
      </w:r>
      <w:r w:rsidR="00DC2F00" w:rsidRPr="003424B3">
        <w:rPr>
          <w:lang w:val="en-US"/>
        </w:rPr>
        <w:t xml:space="preserve">The 3a architecture option is illustrated in </w:t>
      </w:r>
      <w:r w:rsidR="00DC2F00" w:rsidRPr="003424B3">
        <w:rPr>
          <w:lang w:val="en-US"/>
        </w:rPr>
        <w:fldChar w:fldCharType="begin"/>
      </w:r>
      <w:r w:rsidR="00DC2F00" w:rsidRPr="003424B3">
        <w:rPr>
          <w:lang w:val="en-US"/>
        </w:rPr>
        <w:instrText xml:space="preserve"> REF _Ref501117743 \h </w:instrText>
      </w:r>
      <w:r w:rsidR="00DC2F00" w:rsidRPr="003424B3">
        <w:rPr>
          <w:lang w:val="en-US"/>
        </w:rPr>
      </w:r>
      <w:r w:rsidR="00DC2F00" w:rsidRPr="003424B3">
        <w:rPr>
          <w:lang w:val="en-US"/>
        </w:rPr>
        <w:fldChar w:fldCharType="separate"/>
      </w:r>
      <w:r w:rsidR="00DC2F00" w:rsidRPr="003424B3">
        <w:rPr>
          <w:lang w:val="en-US"/>
        </w:rPr>
        <w:t xml:space="preserve">Figure </w:t>
      </w:r>
      <w:r w:rsidR="00DC2F00" w:rsidRPr="003424B3">
        <w:rPr>
          <w:noProof/>
          <w:lang w:val="en-US"/>
        </w:rPr>
        <w:t>1</w:t>
      </w:r>
      <w:r w:rsidR="00DC2F00" w:rsidRPr="003424B3">
        <w:rPr>
          <w:lang w:val="en-US"/>
        </w:rPr>
        <w:fldChar w:fldCharType="end"/>
      </w:r>
      <w:r w:rsidR="00DC2F00" w:rsidRPr="003424B3">
        <w:rPr>
          <w:lang w:val="en-US"/>
        </w:rPr>
        <w:t>.</w:t>
      </w:r>
    </w:p>
    <w:p w14:paraId="00E046AA" w14:textId="644D22D5" w:rsidR="00DC2F00" w:rsidRPr="003424B3" w:rsidRDefault="00D56A47" w:rsidP="00DC2F00">
      <w:pPr>
        <w:jc w:val="center"/>
        <w:rPr>
          <w:lang w:val="en-US"/>
        </w:rPr>
      </w:pPr>
      <w:r>
        <w:object w:dxaOrig="4584" w:dyaOrig="1413" w14:anchorId="22E91E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15pt;height:70.1pt" o:ole="">
            <v:imagedata r:id="rId12" o:title=""/>
          </v:shape>
          <o:OLEObject Type="Embed" ProgID="Visio.Drawing.11" ShapeID="_x0000_i1025" DrawAspect="Content" ObjectID="_1577250893" r:id="rId13"/>
        </w:object>
      </w:r>
    </w:p>
    <w:p w14:paraId="6F7D8680" w14:textId="00EA8819" w:rsidR="00DC2F00" w:rsidRPr="003424B3" w:rsidRDefault="00DC2F00" w:rsidP="00DC2F00">
      <w:pPr>
        <w:pStyle w:val="Caption"/>
        <w:jc w:val="center"/>
        <w:rPr>
          <w:lang w:val="en-US"/>
        </w:rPr>
      </w:pPr>
      <w:bookmarkStart w:id="2" w:name="_Ref501117743"/>
      <w:r w:rsidRPr="003424B3">
        <w:rPr>
          <w:lang w:val="en-US"/>
        </w:rPr>
        <w:t xml:space="preserve">Figure </w:t>
      </w:r>
      <w:r w:rsidR="00EE0701" w:rsidRPr="003424B3">
        <w:rPr>
          <w:lang w:val="en-US"/>
        </w:rPr>
        <w:fldChar w:fldCharType="begin"/>
      </w:r>
      <w:r w:rsidR="00EE0701" w:rsidRPr="003424B3">
        <w:rPr>
          <w:lang w:val="en-US"/>
        </w:rPr>
        <w:instrText xml:space="preserve"> SEQ Figure \* ARABIC </w:instrText>
      </w:r>
      <w:r w:rsidR="00EE0701" w:rsidRPr="003424B3">
        <w:rPr>
          <w:lang w:val="en-US"/>
        </w:rPr>
        <w:fldChar w:fldCharType="separate"/>
      </w:r>
      <w:r w:rsidR="003424B3" w:rsidRPr="003424B3">
        <w:rPr>
          <w:noProof/>
          <w:lang w:val="en-US"/>
        </w:rPr>
        <w:t>1</w:t>
      </w:r>
      <w:r w:rsidR="00EE0701" w:rsidRPr="003424B3">
        <w:rPr>
          <w:noProof/>
          <w:lang w:val="en-US"/>
        </w:rPr>
        <w:fldChar w:fldCharType="end"/>
      </w:r>
      <w:bookmarkEnd w:id="2"/>
      <w:r w:rsidRPr="003424B3">
        <w:rPr>
          <w:lang w:val="en-US"/>
        </w:rPr>
        <w:t xml:space="preserve"> NSA architecture 3a</w:t>
      </w:r>
    </w:p>
    <w:p w14:paraId="308D8868" w14:textId="21DFDF21" w:rsidR="003424B3" w:rsidRPr="003424B3" w:rsidRDefault="00DC2F00" w:rsidP="00DC2F00">
      <w:pPr>
        <w:rPr>
          <w:lang w:val="en-US"/>
        </w:rPr>
      </w:pPr>
      <w:r w:rsidRPr="003424B3">
        <w:rPr>
          <w:lang w:val="en-US"/>
        </w:rPr>
        <w:t>The UE can have dual connectivity over LTE and NR connections but the control signaling happens through LTE.</w:t>
      </w:r>
      <w:r w:rsidR="003424B3" w:rsidRPr="003424B3">
        <w:rPr>
          <w:lang w:val="en-US"/>
        </w:rPr>
        <w:t xml:space="preserve"> </w:t>
      </w:r>
      <w:r w:rsidR="00D56A47">
        <w:rPr>
          <w:lang w:val="en-US"/>
        </w:rPr>
        <w:t xml:space="preserve">The gNB acts as a secondary node (SN) of EN-DC. </w:t>
      </w:r>
      <w:r w:rsidR="003424B3" w:rsidRPr="003424B3">
        <w:rPr>
          <w:lang w:val="en-US"/>
        </w:rPr>
        <w:t>There can be a signaling bearer over NR connection but that cannot be used for access and mobility where eNB (master node, MN) involvement is required.</w:t>
      </w:r>
      <w:r w:rsidR="00D56A47">
        <w:rPr>
          <w:lang w:val="en-US"/>
        </w:rPr>
        <w:t xml:space="preserve"> UE establishes the connection first in LTE and dual connectivity is </w:t>
      </w:r>
      <w:r w:rsidR="00C81D1D">
        <w:rPr>
          <w:lang w:val="en-US"/>
        </w:rPr>
        <w:t xml:space="preserve">setup </w:t>
      </w:r>
      <w:r w:rsidR="00D56A47">
        <w:rPr>
          <w:lang w:val="en-US"/>
        </w:rPr>
        <w:t xml:space="preserve">by configuring the NR cell (of the gNB) </w:t>
      </w:r>
      <w:r w:rsidR="006927A8">
        <w:rPr>
          <w:lang w:val="en-US"/>
        </w:rPr>
        <w:t xml:space="preserve">as a secondary node. The EN-DC configuration is done by LTE RRC signaling. Establishing the secondary link is initiated with </w:t>
      </w:r>
      <w:r w:rsidR="00F0255A">
        <w:rPr>
          <w:lang w:val="en-US"/>
        </w:rPr>
        <w:t>the</w:t>
      </w:r>
      <w:r w:rsidR="006927A8">
        <w:rPr>
          <w:lang w:val="en-US"/>
        </w:rPr>
        <w:t xml:space="preserve"> r</w:t>
      </w:r>
      <w:r w:rsidR="00B01E2D">
        <w:rPr>
          <w:lang w:val="en-US"/>
        </w:rPr>
        <w:t>andom-</w:t>
      </w:r>
      <w:r w:rsidR="006927A8">
        <w:rPr>
          <w:lang w:val="en-US"/>
        </w:rPr>
        <w:t xml:space="preserve">access procedure. The overall procedure is described in </w:t>
      </w:r>
      <w:r w:rsidR="006927A8">
        <w:rPr>
          <w:lang w:val="en-US"/>
        </w:rPr>
        <w:fldChar w:fldCharType="begin"/>
      </w:r>
      <w:r w:rsidR="006927A8">
        <w:rPr>
          <w:lang w:val="en-US"/>
        </w:rPr>
        <w:instrText xml:space="preserve"> REF _Ref503254760 \r \h </w:instrText>
      </w:r>
      <w:r w:rsidR="006927A8">
        <w:rPr>
          <w:lang w:val="en-US"/>
        </w:rPr>
      </w:r>
      <w:r w:rsidR="006927A8">
        <w:rPr>
          <w:lang w:val="en-US"/>
        </w:rPr>
        <w:fldChar w:fldCharType="separate"/>
      </w:r>
      <w:r w:rsidR="006927A8">
        <w:rPr>
          <w:lang w:val="en-US"/>
        </w:rPr>
        <w:t>[2]</w:t>
      </w:r>
      <w:r w:rsidR="006927A8">
        <w:rPr>
          <w:lang w:val="en-US"/>
        </w:rPr>
        <w:fldChar w:fldCharType="end"/>
      </w:r>
      <w:r w:rsidR="006927A8">
        <w:rPr>
          <w:lang w:val="en-US"/>
        </w:rPr>
        <w:t>, se</w:t>
      </w:r>
      <w:r w:rsidR="00B54D2B">
        <w:rPr>
          <w:lang w:val="en-US"/>
        </w:rPr>
        <w:t>ction</w:t>
      </w:r>
      <w:r w:rsidR="006927A8">
        <w:rPr>
          <w:lang w:val="en-US"/>
        </w:rPr>
        <w:t xml:space="preserve"> 10.2.</w:t>
      </w:r>
    </w:p>
    <w:p w14:paraId="1946FBB2" w14:textId="77777777" w:rsidR="00F0255A" w:rsidRPr="003424B3" w:rsidRDefault="00F0255A" w:rsidP="00F0255A">
      <w:pPr>
        <w:pStyle w:val="Heading2"/>
        <w:rPr>
          <w:lang w:val="en-US"/>
        </w:rPr>
      </w:pPr>
      <w:r w:rsidRPr="003424B3">
        <w:rPr>
          <w:lang w:val="en-US"/>
        </w:rPr>
        <w:t>2.2</w:t>
      </w:r>
      <w:r w:rsidRPr="003424B3">
        <w:rPr>
          <w:lang w:val="en-US"/>
        </w:rPr>
        <w:tab/>
        <w:t>Applying IAB in the NSA network</w:t>
      </w:r>
    </w:p>
    <w:p w14:paraId="12052427" w14:textId="55AFE17B" w:rsidR="003424B3" w:rsidRPr="003424B3" w:rsidRDefault="003424B3" w:rsidP="00DC2F00">
      <w:pPr>
        <w:rPr>
          <w:lang w:val="en-US"/>
        </w:rPr>
      </w:pPr>
      <w:r w:rsidRPr="003424B3">
        <w:rPr>
          <w:lang w:val="en-US"/>
        </w:rPr>
        <w:t xml:space="preserve">Architecture with </w:t>
      </w:r>
      <w:r>
        <w:rPr>
          <w:lang w:val="en-US"/>
        </w:rPr>
        <w:t xml:space="preserve">one-hop </w:t>
      </w:r>
      <w:r w:rsidRPr="003424B3">
        <w:rPr>
          <w:lang w:val="en-US"/>
        </w:rPr>
        <w:t>relaying extension is shown in</w:t>
      </w:r>
      <w:r w:rsidR="00D84571">
        <w:rPr>
          <w:lang w:val="en-US"/>
        </w:rPr>
        <w:t xml:space="preserve"> </w:t>
      </w:r>
      <w:r w:rsidR="00F0255A">
        <w:rPr>
          <w:lang w:val="en-US"/>
        </w:rPr>
        <w:fldChar w:fldCharType="begin"/>
      </w:r>
      <w:r w:rsidR="00F0255A">
        <w:rPr>
          <w:lang w:val="en-US"/>
        </w:rPr>
        <w:instrText xml:space="preserve"> REF _Ref503255153 \h </w:instrText>
      </w:r>
      <w:r w:rsidR="00F0255A">
        <w:rPr>
          <w:lang w:val="en-US"/>
        </w:rPr>
      </w:r>
      <w:r w:rsidR="00F0255A">
        <w:rPr>
          <w:lang w:val="en-US"/>
        </w:rPr>
        <w:fldChar w:fldCharType="separate"/>
      </w:r>
      <w:r w:rsidR="00F0255A">
        <w:t xml:space="preserve">Figure </w:t>
      </w:r>
      <w:r w:rsidR="00F0255A">
        <w:rPr>
          <w:noProof/>
        </w:rPr>
        <w:t>2</w:t>
      </w:r>
      <w:r w:rsidR="00F0255A">
        <w:rPr>
          <w:lang w:val="en-US"/>
        </w:rPr>
        <w:fldChar w:fldCharType="end"/>
      </w:r>
      <w:r w:rsidRPr="003424B3">
        <w:rPr>
          <w:lang w:val="en-US"/>
        </w:rPr>
        <w:t>.</w:t>
      </w:r>
    </w:p>
    <w:p w14:paraId="3FC93E8E" w14:textId="5ACE2356" w:rsidR="003424B3" w:rsidRDefault="00F34B01" w:rsidP="003424B3">
      <w:pPr>
        <w:jc w:val="center"/>
      </w:pPr>
      <w:r>
        <w:object w:dxaOrig="6342" w:dyaOrig="1413" w14:anchorId="0C7760ED">
          <v:shape id="_x0000_i1026" type="#_x0000_t75" style="width:316.15pt;height:70.1pt" o:ole="">
            <v:imagedata r:id="rId14" o:title=""/>
          </v:shape>
          <o:OLEObject Type="Embed" ProgID="Visio.Drawing.11" ShapeID="_x0000_i1026" DrawAspect="Content" ObjectID="_1577250894" r:id="rId15"/>
        </w:object>
      </w:r>
    </w:p>
    <w:p w14:paraId="0EA38C06" w14:textId="0FA035CF" w:rsidR="003424B3" w:rsidRDefault="003424B3" w:rsidP="003424B3">
      <w:pPr>
        <w:pStyle w:val="Caption"/>
        <w:jc w:val="center"/>
      </w:pPr>
      <w:bookmarkStart w:id="3" w:name="_Ref503255153"/>
      <w:r>
        <w:t xml:space="preserve">Figure </w:t>
      </w:r>
      <w:r w:rsidR="006305DF">
        <w:fldChar w:fldCharType="begin"/>
      </w:r>
      <w:r w:rsidR="006305DF">
        <w:instrText xml:space="preserve"> SEQ Figure \* ARABIC </w:instrText>
      </w:r>
      <w:r w:rsidR="006305DF">
        <w:fldChar w:fldCharType="separate"/>
      </w:r>
      <w:r>
        <w:rPr>
          <w:noProof/>
        </w:rPr>
        <w:t>2</w:t>
      </w:r>
      <w:r w:rsidR="006305DF">
        <w:rPr>
          <w:noProof/>
        </w:rPr>
        <w:fldChar w:fldCharType="end"/>
      </w:r>
      <w:bookmarkEnd w:id="3"/>
      <w:r>
        <w:t xml:space="preserve"> Relaying in NSA network</w:t>
      </w:r>
    </w:p>
    <w:p w14:paraId="103CFB1A" w14:textId="492502F6" w:rsidR="003424B3" w:rsidRDefault="003424B3" w:rsidP="003424B3">
      <w:r>
        <w:t xml:space="preserve">From the UE point of view the network acts like a NSA network providing EN-DC connection. </w:t>
      </w:r>
      <w:r w:rsidR="00F0255A">
        <w:t xml:space="preserve">With the architecture option 3 the UE part of the RN establishes the connection the same way as the access UEs by establishing first the LTE connection and then configuring the gNB as SN. The NR connection via the SN can be used to carry the BH data whereas the LTE connection is used for control plane signalling </w:t>
      </w:r>
      <w:r>
        <w:t>as RAN is connected to the EPC</w:t>
      </w:r>
      <w:r w:rsidR="001215F1">
        <w:t xml:space="preserve"> and the eNB is the MN</w:t>
      </w:r>
      <w:r>
        <w:t xml:space="preserve">. </w:t>
      </w:r>
      <w:r w:rsidR="001215F1">
        <w:t>Similarly</w:t>
      </w:r>
      <w:r>
        <w:t xml:space="preserve">, any changes of the BH connection to another gNB </w:t>
      </w:r>
      <w:r w:rsidR="00D06EAC">
        <w:t>uses signalling over LTE</w:t>
      </w:r>
      <w:r w:rsidR="005737E4">
        <w:t xml:space="preserve"> to add/remove the SN</w:t>
      </w:r>
      <w:r w:rsidR="00D06EAC">
        <w:t xml:space="preserve">. </w:t>
      </w:r>
      <w:r w:rsidR="004C1F8C">
        <w:t xml:space="preserve">After </w:t>
      </w:r>
      <w:r w:rsidR="00D06A29">
        <w:t>signalling between the eNB and the RN has established the BH bearer,</w:t>
      </w:r>
      <w:r w:rsidR="00D06EAC">
        <w:t xml:space="preserve"> BH data can be carried over the NR link.</w:t>
      </w:r>
    </w:p>
    <w:p w14:paraId="35511E40" w14:textId="21679316" w:rsidR="00C8124F" w:rsidRDefault="00D06EAC" w:rsidP="003424B3">
      <w:r>
        <w:t xml:space="preserve">Considering the above, the relay node </w:t>
      </w:r>
      <w:r w:rsidR="002925D6">
        <w:t xml:space="preserve">(RN) </w:t>
      </w:r>
      <w:r>
        <w:t>has to</w:t>
      </w:r>
      <w:r w:rsidR="00D06A29">
        <w:t xml:space="preserve"> contain both</w:t>
      </w:r>
      <w:r>
        <w:t xml:space="preserve"> LTE radio</w:t>
      </w:r>
      <w:r w:rsidR="004C656C">
        <w:t xml:space="preserve"> for MN signalling and</w:t>
      </w:r>
      <w:r w:rsidR="002925D6">
        <w:t xml:space="preserve"> NR for the BH </w:t>
      </w:r>
      <w:r w:rsidR="00D06A29">
        <w:t>transport</w:t>
      </w:r>
      <w:r w:rsidR="002925D6">
        <w:t xml:space="preserve">. This </w:t>
      </w:r>
      <w:r w:rsidR="002903F6">
        <w:t xml:space="preserve">results in additional complexity </w:t>
      </w:r>
      <w:r w:rsidR="002925D6">
        <w:t xml:space="preserve">compared to stand-alone </w:t>
      </w:r>
      <w:r w:rsidR="002903F6">
        <w:t xml:space="preserve">(SA) NR </w:t>
      </w:r>
      <w:r w:rsidR="002925D6">
        <w:t xml:space="preserve">operation where the RN could operate with a single </w:t>
      </w:r>
      <w:r w:rsidR="009105BD">
        <w:t xml:space="preserve">NR </w:t>
      </w:r>
      <w:r w:rsidR="002925D6">
        <w:t>radio used for both backhaul and access.</w:t>
      </w:r>
    </w:p>
    <w:p w14:paraId="780E9C91" w14:textId="05FED021" w:rsidR="00AE48A6" w:rsidRDefault="00AE48A6" w:rsidP="00AE48A6">
      <w:pPr>
        <w:rPr>
          <w:b/>
        </w:rPr>
      </w:pPr>
      <w:r w:rsidRPr="00A6690E">
        <w:rPr>
          <w:b/>
        </w:rPr>
        <w:t>Observation</w:t>
      </w:r>
      <w:r w:rsidR="00922EE3">
        <w:rPr>
          <w:b/>
        </w:rPr>
        <w:t xml:space="preserve"> 1</w:t>
      </w:r>
      <w:r w:rsidRPr="00A6690E">
        <w:rPr>
          <w:b/>
        </w:rPr>
        <w:t>:</w:t>
      </w:r>
      <w:r w:rsidR="00922EE3">
        <w:rPr>
          <w:b/>
        </w:rPr>
        <w:t xml:space="preserve"> Relaying in NSA network requires dual radio RN resulting in increased complexity compared to SA deployment</w:t>
      </w:r>
      <w:r>
        <w:rPr>
          <w:b/>
        </w:rPr>
        <w:t>.</w:t>
      </w:r>
    </w:p>
    <w:p w14:paraId="66D1562D" w14:textId="58F04969" w:rsidR="00C8124F" w:rsidRDefault="000204F2" w:rsidP="00D04CD5">
      <w:r>
        <w:t>As RN hosts LTE UE functions</w:t>
      </w:r>
      <w:r w:rsidR="00F34B01">
        <w:t>,</w:t>
      </w:r>
      <w:r>
        <w:t xml:space="preserve"> there will be also LTE DL receiver and UL transmitter implemented. </w:t>
      </w:r>
      <w:r w:rsidR="00005839">
        <w:t xml:space="preserve">UE capabilities and </w:t>
      </w:r>
      <w:r>
        <w:t xml:space="preserve">RF requirements </w:t>
      </w:r>
      <w:r w:rsidR="00005839">
        <w:t xml:space="preserve">have been defined for the normal access </w:t>
      </w:r>
      <w:r>
        <w:t xml:space="preserve">UE implementation. It should be clarified whether </w:t>
      </w:r>
      <w:r w:rsidR="00D04CD5">
        <w:t xml:space="preserve">existing </w:t>
      </w:r>
      <w:r>
        <w:t xml:space="preserve">UE </w:t>
      </w:r>
      <w:r w:rsidR="00D04CD5">
        <w:t xml:space="preserve">categories </w:t>
      </w:r>
      <w:r w:rsidR="00005839">
        <w:t>and RF requirements (e.g. in terms of TX power</w:t>
      </w:r>
      <w:r w:rsidR="0046247B">
        <w:t>s</w:t>
      </w:r>
      <w:r w:rsidR="00005839">
        <w:t xml:space="preserve">, emission masks, etc.) </w:t>
      </w:r>
      <w:r w:rsidR="00D0476A">
        <w:t xml:space="preserve">defined </w:t>
      </w:r>
      <w:r w:rsidR="00005839">
        <w:t xml:space="preserve">for </w:t>
      </w:r>
      <w:r w:rsidR="00D0476A">
        <w:t xml:space="preserve">EN-DC UEs </w:t>
      </w:r>
      <w:r w:rsidR="00D04CD5">
        <w:t xml:space="preserve">will be </w:t>
      </w:r>
      <w:r w:rsidR="00005839">
        <w:t xml:space="preserve">applicable as such </w:t>
      </w:r>
      <w:r w:rsidR="00D04CD5">
        <w:t xml:space="preserve">also for the RN UE. </w:t>
      </w:r>
    </w:p>
    <w:p w14:paraId="65E608FE" w14:textId="038117AA" w:rsidR="00922EE3" w:rsidRDefault="00922EE3" w:rsidP="00922EE3">
      <w:pPr>
        <w:rPr>
          <w:b/>
        </w:rPr>
      </w:pPr>
      <w:r w:rsidRPr="00A6690E">
        <w:rPr>
          <w:b/>
        </w:rPr>
        <w:t>Observation</w:t>
      </w:r>
      <w:r>
        <w:rPr>
          <w:b/>
        </w:rPr>
        <w:t xml:space="preserve"> 2</w:t>
      </w:r>
      <w:r w:rsidRPr="00A6690E">
        <w:rPr>
          <w:b/>
        </w:rPr>
        <w:t>:</w:t>
      </w:r>
      <w:r>
        <w:rPr>
          <w:b/>
        </w:rPr>
        <w:t xml:space="preserve"> It should be </w:t>
      </w:r>
      <w:r w:rsidR="00005839">
        <w:rPr>
          <w:b/>
        </w:rPr>
        <w:t xml:space="preserve">verified </w:t>
      </w:r>
      <w:r>
        <w:rPr>
          <w:b/>
        </w:rPr>
        <w:t xml:space="preserve">whether </w:t>
      </w:r>
      <w:r w:rsidR="00241F82">
        <w:rPr>
          <w:b/>
        </w:rPr>
        <w:t xml:space="preserve">defined </w:t>
      </w:r>
      <w:r w:rsidR="00D0476A">
        <w:rPr>
          <w:b/>
        </w:rPr>
        <w:t>EN-DC-</w:t>
      </w:r>
      <w:r>
        <w:rPr>
          <w:b/>
        </w:rPr>
        <w:t xml:space="preserve">UE </w:t>
      </w:r>
      <w:r w:rsidR="00D0476A">
        <w:rPr>
          <w:b/>
        </w:rPr>
        <w:t xml:space="preserve">capabilities </w:t>
      </w:r>
      <w:r>
        <w:rPr>
          <w:b/>
        </w:rPr>
        <w:t xml:space="preserve">and RF performance requirements are </w:t>
      </w:r>
      <w:r w:rsidR="00005839">
        <w:rPr>
          <w:b/>
        </w:rPr>
        <w:t xml:space="preserve">applicable </w:t>
      </w:r>
      <w:r>
        <w:rPr>
          <w:b/>
        </w:rPr>
        <w:t>for NSA relaying.</w:t>
      </w:r>
    </w:p>
    <w:p w14:paraId="7CED816E" w14:textId="04FCF753" w:rsidR="00AE48A6" w:rsidRDefault="00AE48A6" w:rsidP="003424B3">
      <w:r>
        <w:t xml:space="preserve">Another question is if the LTE connection between the RN and eNB should in certain situations carry also UP data or should it be solely for the CP signalling. </w:t>
      </w:r>
      <w:r w:rsidR="007B0E11">
        <w:t xml:space="preserve">In </w:t>
      </w:r>
      <w:r>
        <w:t>failure cases</w:t>
      </w:r>
      <w:r w:rsidR="007B0E11">
        <w:t>, e.g.</w:t>
      </w:r>
      <w:r>
        <w:t xml:space="preserve"> where the NR BH connection is lost</w:t>
      </w:r>
      <w:r w:rsidR="007B0E11">
        <w:t>,</w:t>
      </w:r>
      <w:r>
        <w:t xml:space="preserve"> the LTE </w:t>
      </w:r>
      <w:r w:rsidR="007B0E11">
        <w:t xml:space="preserve">will </w:t>
      </w:r>
      <w:r>
        <w:t xml:space="preserve">be the only </w:t>
      </w:r>
      <w:r w:rsidR="007B0E11">
        <w:t xml:space="preserve">working </w:t>
      </w:r>
      <w:r>
        <w:t>link</w:t>
      </w:r>
      <w:r w:rsidR="007B0E11">
        <w:t xml:space="preserve"> and one could think of utilizing that also for the BH data</w:t>
      </w:r>
      <w:r>
        <w:t xml:space="preserve">. With relaying, however, the implementation may become complex if the data normally </w:t>
      </w:r>
      <w:r w:rsidR="00F34B01">
        <w:t>going over</w:t>
      </w:r>
      <w:r>
        <w:t xml:space="preserve"> the NR stack should be routed via </w:t>
      </w:r>
      <w:r w:rsidR="00EA2F33">
        <w:t xml:space="preserve">the </w:t>
      </w:r>
      <w:r>
        <w:t>LTE connection.</w:t>
      </w:r>
      <w:r w:rsidR="007B0E11">
        <w:t xml:space="preserve"> </w:t>
      </w:r>
      <w:r w:rsidR="00076C49">
        <w:t xml:space="preserve">Such </w:t>
      </w:r>
      <w:r w:rsidR="007B0E11">
        <w:t xml:space="preserve">failure would </w:t>
      </w:r>
      <w:r w:rsidR="00076C49">
        <w:t xml:space="preserve">normally </w:t>
      </w:r>
      <w:r w:rsidR="007B0E11">
        <w:t xml:space="preserve">be </w:t>
      </w:r>
      <w:r w:rsidR="00076C49">
        <w:t xml:space="preserve">resolved by </w:t>
      </w:r>
      <w:r w:rsidR="007B0E11">
        <w:t xml:space="preserve">configuring an alternative </w:t>
      </w:r>
      <w:r w:rsidR="00076C49">
        <w:t>NR link for the BH.</w:t>
      </w:r>
    </w:p>
    <w:p w14:paraId="3BA2B079" w14:textId="0BD85695" w:rsidR="002925D6" w:rsidRPr="00A6690E" w:rsidRDefault="002925D6" w:rsidP="003424B3">
      <w:pPr>
        <w:rPr>
          <w:b/>
        </w:rPr>
      </w:pPr>
      <w:r w:rsidRPr="00A6690E">
        <w:rPr>
          <w:b/>
        </w:rPr>
        <w:t>Observation</w:t>
      </w:r>
      <w:r w:rsidR="00922EE3">
        <w:rPr>
          <w:b/>
        </w:rPr>
        <w:t xml:space="preserve"> 3</w:t>
      </w:r>
      <w:r w:rsidRPr="00A6690E">
        <w:rPr>
          <w:b/>
        </w:rPr>
        <w:t xml:space="preserve">: </w:t>
      </w:r>
      <w:r w:rsidR="005B677B">
        <w:rPr>
          <w:b/>
        </w:rPr>
        <w:t xml:space="preserve">To simplify the relaying in NSA network, the LTE link between RN and eNB </w:t>
      </w:r>
      <w:r w:rsidR="00D623AD">
        <w:rPr>
          <w:b/>
        </w:rPr>
        <w:t xml:space="preserve">can </w:t>
      </w:r>
      <w:r w:rsidR="005B677B">
        <w:rPr>
          <w:b/>
        </w:rPr>
        <w:t>be limited to CP only.</w:t>
      </w:r>
    </w:p>
    <w:p w14:paraId="06494322" w14:textId="4E70BC33" w:rsidR="00CD4C7B" w:rsidRPr="006E13D1" w:rsidRDefault="00CD4C7B" w:rsidP="00CD4C7B">
      <w:pPr>
        <w:pStyle w:val="TF"/>
      </w:pPr>
    </w:p>
    <w:p w14:paraId="43A12B72" w14:textId="210B2CD4" w:rsidR="00CD4C7B" w:rsidRPr="002B79B3" w:rsidRDefault="00B41564" w:rsidP="00CD4C7B">
      <w:pPr>
        <w:pStyle w:val="Heading1"/>
      </w:pPr>
      <w:r w:rsidRPr="002B79B3">
        <w:t>3</w:t>
      </w:r>
      <w:r w:rsidRPr="002B79B3">
        <w:tab/>
      </w:r>
      <w:r w:rsidRPr="00A97AC1">
        <w:rPr>
          <w:lang w:val="en-US"/>
        </w:rPr>
        <w:t>Conclusions</w:t>
      </w:r>
    </w:p>
    <w:p w14:paraId="6B2D3553" w14:textId="25276477" w:rsidR="00922EE3" w:rsidRPr="00A030BC" w:rsidRDefault="00922EE3" w:rsidP="005B677B">
      <w:pPr>
        <w:rPr>
          <w:lang w:val="en-US"/>
        </w:rPr>
      </w:pPr>
      <w:r w:rsidRPr="00A030BC">
        <w:rPr>
          <w:lang w:val="en-US"/>
        </w:rPr>
        <w:t>In this paper</w:t>
      </w:r>
      <w:r>
        <w:rPr>
          <w:lang w:val="en-US"/>
        </w:rPr>
        <w:t>,</w:t>
      </w:r>
      <w:r w:rsidRPr="00A030BC">
        <w:rPr>
          <w:lang w:val="en-US"/>
        </w:rPr>
        <w:t xml:space="preserve"> we have elaborated issues that needs clarification for the relaying in a NSA network. We ended up with following observations:</w:t>
      </w:r>
    </w:p>
    <w:p w14:paraId="066D2466" w14:textId="77777777" w:rsidR="00922EE3" w:rsidRDefault="00922EE3" w:rsidP="00922EE3">
      <w:pPr>
        <w:rPr>
          <w:b/>
        </w:rPr>
      </w:pPr>
      <w:r w:rsidRPr="00A6690E">
        <w:rPr>
          <w:b/>
        </w:rPr>
        <w:t>Observation</w:t>
      </w:r>
      <w:r>
        <w:rPr>
          <w:b/>
        </w:rPr>
        <w:t xml:space="preserve"> 1</w:t>
      </w:r>
      <w:r w:rsidRPr="00A6690E">
        <w:rPr>
          <w:b/>
        </w:rPr>
        <w:t>:</w:t>
      </w:r>
      <w:r>
        <w:rPr>
          <w:b/>
        </w:rPr>
        <w:t xml:space="preserve"> Relaying in NSA network requires dual radio RN resulting in increased complexity compared to SA deployment.</w:t>
      </w:r>
    </w:p>
    <w:p w14:paraId="16DF243F" w14:textId="31FFE195" w:rsidR="00922EE3" w:rsidRDefault="00922EE3" w:rsidP="00922EE3">
      <w:pPr>
        <w:rPr>
          <w:b/>
        </w:rPr>
      </w:pPr>
      <w:r w:rsidRPr="00A6690E">
        <w:rPr>
          <w:b/>
        </w:rPr>
        <w:t>Observation</w:t>
      </w:r>
      <w:r>
        <w:rPr>
          <w:b/>
        </w:rPr>
        <w:t xml:space="preserve"> 2</w:t>
      </w:r>
      <w:r w:rsidRPr="00A6690E">
        <w:rPr>
          <w:b/>
        </w:rPr>
        <w:t>:</w:t>
      </w:r>
      <w:r>
        <w:rPr>
          <w:b/>
        </w:rPr>
        <w:t xml:space="preserve"> It should be </w:t>
      </w:r>
      <w:r w:rsidR="00D623AD">
        <w:rPr>
          <w:b/>
        </w:rPr>
        <w:t xml:space="preserve">verified </w:t>
      </w:r>
      <w:r>
        <w:rPr>
          <w:b/>
        </w:rPr>
        <w:t xml:space="preserve">whether </w:t>
      </w:r>
      <w:r w:rsidR="003163BA">
        <w:rPr>
          <w:b/>
        </w:rPr>
        <w:t xml:space="preserve">defined EN-DC </w:t>
      </w:r>
      <w:r>
        <w:rPr>
          <w:b/>
        </w:rPr>
        <w:t xml:space="preserve">UE </w:t>
      </w:r>
      <w:r w:rsidR="003163BA">
        <w:rPr>
          <w:b/>
        </w:rPr>
        <w:t xml:space="preserve">capabilities </w:t>
      </w:r>
      <w:r>
        <w:rPr>
          <w:b/>
        </w:rPr>
        <w:t xml:space="preserve">and RF performance requirements are </w:t>
      </w:r>
      <w:r w:rsidR="00D623AD">
        <w:rPr>
          <w:b/>
        </w:rPr>
        <w:t xml:space="preserve">applicable </w:t>
      </w:r>
      <w:r>
        <w:rPr>
          <w:b/>
        </w:rPr>
        <w:t>for NSA relaying.</w:t>
      </w:r>
    </w:p>
    <w:p w14:paraId="754E8632" w14:textId="407DF229" w:rsidR="00922EE3" w:rsidRPr="002B79B3" w:rsidRDefault="00922EE3" w:rsidP="00922EE3">
      <w:r w:rsidRPr="00A6690E">
        <w:rPr>
          <w:b/>
        </w:rPr>
        <w:t>Observation</w:t>
      </w:r>
      <w:r>
        <w:rPr>
          <w:b/>
        </w:rPr>
        <w:t xml:space="preserve"> 3</w:t>
      </w:r>
      <w:r w:rsidRPr="00A6690E">
        <w:rPr>
          <w:b/>
        </w:rPr>
        <w:t xml:space="preserve">: </w:t>
      </w:r>
      <w:r>
        <w:rPr>
          <w:b/>
        </w:rPr>
        <w:t xml:space="preserve">To simplify the relaying in NSA network, the LTE link between RN and eNB </w:t>
      </w:r>
      <w:r w:rsidR="00D623AD">
        <w:rPr>
          <w:b/>
        </w:rPr>
        <w:t xml:space="preserve">can </w:t>
      </w:r>
      <w:r>
        <w:rPr>
          <w:b/>
        </w:rPr>
        <w:t>be limited to CP only.</w:t>
      </w:r>
    </w:p>
    <w:p w14:paraId="4FCB12F2" w14:textId="2F26D715" w:rsidR="00922EE3" w:rsidRPr="00A030BC" w:rsidRDefault="00922EE3" w:rsidP="005B677B">
      <w:r w:rsidRPr="00A030BC">
        <w:t>Based on the discussion and observations we propose following:</w:t>
      </w:r>
    </w:p>
    <w:p w14:paraId="25053767" w14:textId="07FBAE98" w:rsidR="005B677B" w:rsidRPr="00A6690E" w:rsidRDefault="005B677B" w:rsidP="005B677B">
      <w:pPr>
        <w:rPr>
          <w:b/>
        </w:rPr>
      </w:pPr>
      <w:r w:rsidRPr="00A6690E">
        <w:rPr>
          <w:b/>
        </w:rPr>
        <w:t xml:space="preserve">Proposal: </w:t>
      </w:r>
      <w:r w:rsidR="00922EE3">
        <w:rPr>
          <w:b/>
        </w:rPr>
        <w:t xml:space="preserve">RAN2 is asked to consider the issues related to NSA deployment </w:t>
      </w:r>
      <w:r w:rsidR="006E29D8">
        <w:rPr>
          <w:b/>
        </w:rPr>
        <w:t>discussed in this document</w:t>
      </w:r>
      <w:r w:rsidR="006E29D8" w:rsidRPr="00A030BC">
        <w:rPr>
          <w:b/>
          <w:lang w:val="en-US"/>
        </w:rPr>
        <w:t xml:space="preserve"> </w:t>
      </w:r>
      <w:r w:rsidR="006E29D8">
        <w:rPr>
          <w:b/>
        </w:rPr>
        <w:t xml:space="preserve">e.g. when assessing the required specification efforts and timing and/or if prioritization </w:t>
      </w:r>
      <w:r w:rsidR="00F34B01">
        <w:rPr>
          <w:b/>
        </w:rPr>
        <w:t xml:space="preserve">needs </w:t>
      </w:r>
      <w:r w:rsidR="006E29D8">
        <w:rPr>
          <w:b/>
        </w:rPr>
        <w:t xml:space="preserve">to be </w:t>
      </w:r>
      <w:r w:rsidR="00F34B01">
        <w:rPr>
          <w:b/>
        </w:rPr>
        <w:t xml:space="preserve">done </w:t>
      </w:r>
      <w:r w:rsidR="006E29D8">
        <w:rPr>
          <w:b/>
        </w:rPr>
        <w:t>between scenarios</w:t>
      </w:r>
      <w:r w:rsidR="007F1F4F">
        <w:rPr>
          <w:b/>
        </w:rPr>
        <w:t xml:space="preserve"> and network architectures (SA vs NSA)</w:t>
      </w:r>
      <w:r w:rsidR="006E29D8">
        <w:rPr>
          <w:b/>
        </w:rPr>
        <w:t xml:space="preserve"> </w:t>
      </w:r>
      <w:r w:rsidR="00F34B01">
        <w:rPr>
          <w:b/>
        </w:rPr>
        <w:t xml:space="preserve">where </w:t>
      </w:r>
      <w:r w:rsidR="006E29D8">
        <w:rPr>
          <w:b/>
        </w:rPr>
        <w:t>IAB</w:t>
      </w:r>
      <w:r w:rsidR="00F34B01">
        <w:rPr>
          <w:b/>
        </w:rPr>
        <w:t xml:space="preserve"> is supported</w:t>
      </w:r>
      <w:r w:rsidR="006E29D8">
        <w:rPr>
          <w:b/>
        </w:rPr>
        <w:t>.</w:t>
      </w:r>
    </w:p>
    <w:p w14:paraId="3374DB13" w14:textId="77777777" w:rsidR="005B677B" w:rsidRPr="00A030BC" w:rsidRDefault="005B677B" w:rsidP="00CD4C7B"/>
    <w:p w14:paraId="0FDCFAC2" w14:textId="77777777" w:rsidR="00CD4C7B" w:rsidRPr="006E13D1" w:rsidRDefault="00CD4C7B" w:rsidP="00CD4C7B">
      <w:pPr>
        <w:pStyle w:val="Heading1"/>
      </w:pPr>
      <w:r w:rsidRPr="006E13D1">
        <w:lastRenderedPageBreak/>
        <w:t>References</w:t>
      </w:r>
    </w:p>
    <w:p w14:paraId="2E2E1792" w14:textId="44A64146" w:rsidR="00B41564" w:rsidRDefault="00B41564" w:rsidP="00B41564">
      <w:pPr>
        <w:numPr>
          <w:ilvl w:val="0"/>
          <w:numId w:val="4"/>
        </w:numPr>
        <w:overflowPunct w:val="0"/>
        <w:autoSpaceDE w:val="0"/>
        <w:autoSpaceDN w:val="0"/>
        <w:adjustRightInd w:val="0"/>
        <w:textAlignment w:val="baseline"/>
      </w:pPr>
      <w:bookmarkStart w:id="4" w:name="_Ref75086397"/>
      <w:r>
        <w:t>RP-171880</w:t>
      </w:r>
      <w:r w:rsidRPr="006E13D1">
        <w:t xml:space="preserve"> </w:t>
      </w:r>
      <w:r w:rsidRPr="00B41564">
        <w:rPr>
          <w:i/>
          <w:iCs/>
        </w:rPr>
        <w:t>Study on Integrated Access and Backhaul for NR</w:t>
      </w:r>
      <w:r>
        <w:t xml:space="preserve"> - </w:t>
      </w:r>
      <w:r w:rsidRPr="00B41564">
        <w:t>AT&amp;T, Qualcomm, Samsung</w:t>
      </w:r>
    </w:p>
    <w:p w14:paraId="52B0F9AF" w14:textId="46077778" w:rsidR="006927A8" w:rsidRDefault="006927A8" w:rsidP="006927A8">
      <w:pPr>
        <w:numPr>
          <w:ilvl w:val="0"/>
          <w:numId w:val="4"/>
        </w:numPr>
        <w:overflowPunct w:val="0"/>
        <w:autoSpaceDE w:val="0"/>
        <w:autoSpaceDN w:val="0"/>
        <w:adjustRightInd w:val="0"/>
        <w:textAlignment w:val="baseline"/>
      </w:pPr>
      <w:bookmarkStart w:id="5" w:name="_Ref503254760"/>
      <w:r w:rsidRPr="006927A8">
        <w:t>3GPP TS 37.340</w:t>
      </w:r>
      <w:r>
        <w:t xml:space="preserve"> </w:t>
      </w:r>
      <w:r w:rsidRPr="00A030BC">
        <w:rPr>
          <w:i/>
        </w:rPr>
        <w:t>Evolved Universal Terrestrial Radio Access (E-UTRA) and NR; Multi-connectivity; Stage 2</w:t>
      </w:r>
      <w:bookmarkEnd w:id="5"/>
    </w:p>
    <w:bookmarkEnd w:id="4"/>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1D5E48" w14:textId="77777777" w:rsidR="006305DF" w:rsidRDefault="006305DF">
      <w:r>
        <w:separator/>
      </w:r>
    </w:p>
  </w:endnote>
  <w:endnote w:type="continuationSeparator" w:id="0">
    <w:p w14:paraId="56120B20" w14:textId="77777777" w:rsidR="006305DF" w:rsidRDefault="00630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14BA8E" w14:textId="77777777" w:rsidR="006305DF" w:rsidRDefault="006305DF">
      <w:r>
        <w:separator/>
      </w:r>
    </w:p>
  </w:footnote>
  <w:footnote w:type="continuationSeparator" w:id="0">
    <w:p w14:paraId="436B5DF9" w14:textId="77777777" w:rsidR="006305DF" w:rsidRDefault="006305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5839"/>
    <w:rsid w:val="000204F2"/>
    <w:rsid w:val="00033397"/>
    <w:rsid w:val="00040095"/>
    <w:rsid w:val="00066E2B"/>
    <w:rsid w:val="00076C49"/>
    <w:rsid w:val="00080512"/>
    <w:rsid w:val="00090468"/>
    <w:rsid w:val="000B7BCF"/>
    <w:rsid w:val="000C522B"/>
    <w:rsid w:val="000D58AB"/>
    <w:rsid w:val="00103258"/>
    <w:rsid w:val="00112F1A"/>
    <w:rsid w:val="001215F1"/>
    <w:rsid w:val="00145075"/>
    <w:rsid w:val="001741A0"/>
    <w:rsid w:val="00194CD0"/>
    <w:rsid w:val="001B49C9"/>
    <w:rsid w:val="001D04F6"/>
    <w:rsid w:val="001F168B"/>
    <w:rsid w:val="001F7831"/>
    <w:rsid w:val="00204045"/>
    <w:rsid w:val="0022606D"/>
    <w:rsid w:val="00241F82"/>
    <w:rsid w:val="002747EC"/>
    <w:rsid w:val="002855BF"/>
    <w:rsid w:val="002903F6"/>
    <w:rsid w:val="002925D6"/>
    <w:rsid w:val="00296F22"/>
    <w:rsid w:val="002B79B3"/>
    <w:rsid w:val="002F0D22"/>
    <w:rsid w:val="003074E0"/>
    <w:rsid w:val="003163BA"/>
    <w:rsid w:val="003172DC"/>
    <w:rsid w:val="0031775D"/>
    <w:rsid w:val="00326069"/>
    <w:rsid w:val="003424B3"/>
    <w:rsid w:val="0035462D"/>
    <w:rsid w:val="003B40AD"/>
    <w:rsid w:val="003C4E37"/>
    <w:rsid w:val="003E16BE"/>
    <w:rsid w:val="003E6339"/>
    <w:rsid w:val="004006E8"/>
    <w:rsid w:val="00401855"/>
    <w:rsid w:val="0046247B"/>
    <w:rsid w:val="00477455"/>
    <w:rsid w:val="004905FF"/>
    <w:rsid w:val="004C1F8C"/>
    <w:rsid w:val="004C656C"/>
    <w:rsid w:val="004D3578"/>
    <w:rsid w:val="004D380D"/>
    <w:rsid w:val="004E213A"/>
    <w:rsid w:val="00503171"/>
    <w:rsid w:val="00506C28"/>
    <w:rsid w:val="00513895"/>
    <w:rsid w:val="00534DA0"/>
    <w:rsid w:val="00543E6C"/>
    <w:rsid w:val="00565087"/>
    <w:rsid w:val="0056573F"/>
    <w:rsid w:val="005737E4"/>
    <w:rsid w:val="00583CD6"/>
    <w:rsid w:val="005A6F40"/>
    <w:rsid w:val="005B4642"/>
    <w:rsid w:val="005B677B"/>
    <w:rsid w:val="005C76EE"/>
    <w:rsid w:val="00611566"/>
    <w:rsid w:val="006305DF"/>
    <w:rsid w:val="00646D99"/>
    <w:rsid w:val="00656910"/>
    <w:rsid w:val="006927A8"/>
    <w:rsid w:val="00692C11"/>
    <w:rsid w:val="006C66D8"/>
    <w:rsid w:val="006D1E24"/>
    <w:rsid w:val="006E1417"/>
    <w:rsid w:val="006E29D8"/>
    <w:rsid w:val="006E3DE2"/>
    <w:rsid w:val="006F6A2C"/>
    <w:rsid w:val="00710201"/>
    <w:rsid w:val="0072725E"/>
    <w:rsid w:val="00734248"/>
    <w:rsid w:val="00734A5B"/>
    <w:rsid w:val="00744E76"/>
    <w:rsid w:val="00757D40"/>
    <w:rsid w:val="00781F0F"/>
    <w:rsid w:val="00786399"/>
    <w:rsid w:val="0078727C"/>
    <w:rsid w:val="0079049D"/>
    <w:rsid w:val="007B0E11"/>
    <w:rsid w:val="007B18D8"/>
    <w:rsid w:val="007C095F"/>
    <w:rsid w:val="007D668C"/>
    <w:rsid w:val="007F1F4F"/>
    <w:rsid w:val="008028A4"/>
    <w:rsid w:val="00813245"/>
    <w:rsid w:val="008550B0"/>
    <w:rsid w:val="00862690"/>
    <w:rsid w:val="00870C79"/>
    <w:rsid w:val="008768CA"/>
    <w:rsid w:val="00877EF9"/>
    <w:rsid w:val="00880559"/>
    <w:rsid w:val="008B5306"/>
    <w:rsid w:val="008E1A65"/>
    <w:rsid w:val="008E1E8F"/>
    <w:rsid w:val="0090271F"/>
    <w:rsid w:val="00902DB9"/>
    <w:rsid w:val="0090466A"/>
    <w:rsid w:val="009105BD"/>
    <w:rsid w:val="00922EE3"/>
    <w:rsid w:val="00936071"/>
    <w:rsid w:val="00940212"/>
    <w:rsid w:val="00942EC2"/>
    <w:rsid w:val="00961B32"/>
    <w:rsid w:val="00970DB3"/>
    <w:rsid w:val="00974BB0"/>
    <w:rsid w:val="00985B5E"/>
    <w:rsid w:val="009A0AF3"/>
    <w:rsid w:val="009B07CD"/>
    <w:rsid w:val="009C19E9"/>
    <w:rsid w:val="009F7FC3"/>
    <w:rsid w:val="00A030BC"/>
    <w:rsid w:val="00A10F02"/>
    <w:rsid w:val="00A204CA"/>
    <w:rsid w:val="00A53724"/>
    <w:rsid w:val="00A6690E"/>
    <w:rsid w:val="00A676A5"/>
    <w:rsid w:val="00A82346"/>
    <w:rsid w:val="00A9671C"/>
    <w:rsid w:val="00A97AC1"/>
    <w:rsid w:val="00AA1553"/>
    <w:rsid w:val="00AC7D3B"/>
    <w:rsid w:val="00AE48A6"/>
    <w:rsid w:val="00B01E2D"/>
    <w:rsid w:val="00B152B7"/>
    <w:rsid w:val="00B15449"/>
    <w:rsid w:val="00B41564"/>
    <w:rsid w:val="00B47FD1"/>
    <w:rsid w:val="00B516BB"/>
    <w:rsid w:val="00B54D2B"/>
    <w:rsid w:val="00B96048"/>
    <w:rsid w:val="00BB502C"/>
    <w:rsid w:val="00BD5A56"/>
    <w:rsid w:val="00C05E39"/>
    <w:rsid w:val="00C12B51"/>
    <w:rsid w:val="00C17ED2"/>
    <w:rsid w:val="00C24650"/>
    <w:rsid w:val="00C33079"/>
    <w:rsid w:val="00C60365"/>
    <w:rsid w:val="00C8124F"/>
    <w:rsid w:val="00C81D1D"/>
    <w:rsid w:val="00C83A13"/>
    <w:rsid w:val="00C9068C"/>
    <w:rsid w:val="00C92967"/>
    <w:rsid w:val="00CA3D0C"/>
    <w:rsid w:val="00CA654B"/>
    <w:rsid w:val="00CB724B"/>
    <w:rsid w:val="00CD4C7B"/>
    <w:rsid w:val="00CF6ECF"/>
    <w:rsid w:val="00D0476A"/>
    <w:rsid w:val="00D04CD5"/>
    <w:rsid w:val="00D06A29"/>
    <w:rsid w:val="00D06EAC"/>
    <w:rsid w:val="00D56A47"/>
    <w:rsid w:val="00D623AD"/>
    <w:rsid w:val="00D738D6"/>
    <w:rsid w:val="00D80795"/>
    <w:rsid w:val="00D84571"/>
    <w:rsid w:val="00D854BE"/>
    <w:rsid w:val="00D87E00"/>
    <w:rsid w:val="00D9134D"/>
    <w:rsid w:val="00D95BE7"/>
    <w:rsid w:val="00D96D11"/>
    <w:rsid w:val="00DA7A03"/>
    <w:rsid w:val="00DB1818"/>
    <w:rsid w:val="00DC2F00"/>
    <w:rsid w:val="00DC309B"/>
    <w:rsid w:val="00DC4DA2"/>
    <w:rsid w:val="00E40BF8"/>
    <w:rsid w:val="00E62835"/>
    <w:rsid w:val="00E77645"/>
    <w:rsid w:val="00E83697"/>
    <w:rsid w:val="00EA2F33"/>
    <w:rsid w:val="00EC4A25"/>
    <w:rsid w:val="00EE0701"/>
    <w:rsid w:val="00F0255A"/>
    <w:rsid w:val="00F025A2"/>
    <w:rsid w:val="00F07388"/>
    <w:rsid w:val="00F2026E"/>
    <w:rsid w:val="00F2210A"/>
    <w:rsid w:val="00F34B01"/>
    <w:rsid w:val="00F350C5"/>
    <w:rsid w:val="00F37743"/>
    <w:rsid w:val="00F43747"/>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Caption">
    <w:name w:val="caption"/>
    <w:basedOn w:val="Normal"/>
    <w:next w:val="Normal"/>
    <w:unhideWhenUsed/>
    <w:qFormat/>
    <w:rsid w:val="00DC2F00"/>
    <w:pPr>
      <w:spacing w:after="200"/>
    </w:pPr>
    <w:rPr>
      <w:i/>
      <w:iCs/>
      <w:color w:val="44546A" w:themeColor="text2"/>
      <w:sz w:val="18"/>
      <w:szCs w:val="18"/>
    </w:rPr>
  </w:style>
  <w:style w:type="paragraph" w:styleId="BalloonText">
    <w:name w:val="Balloon Text"/>
    <w:basedOn w:val="Normal"/>
    <w:link w:val="BalloonTextChar"/>
    <w:rsid w:val="006927A8"/>
    <w:pPr>
      <w:spacing w:after="0"/>
    </w:pPr>
    <w:rPr>
      <w:rFonts w:ascii="Segoe UI" w:hAnsi="Segoe UI" w:cs="Segoe UI"/>
      <w:sz w:val="18"/>
      <w:szCs w:val="18"/>
    </w:rPr>
  </w:style>
  <w:style w:type="character" w:customStyle="1" w:styleId="BalloonTextChar">
    <w:name w:val="Balloon Text Char"/>
    <w:basedOn w:val="DefaultParagraphFont"/>
    <w:link w:val="BalloonText"/>
    <w:rsid w:val="006927A8"/>
    <w:rPr>
      <w:rFonts w:ascii="Segoe UI" w:hAnsi="Segoe UI" w:cs="Segoe UI"/>
      <w:sz w:val="18"/>
      <w:szCs w:val="18"/>
      <w:lang w:eastAsia="en-US"/>
    </w:rPr>
  </w:style>
  <w:style w:type="character" w:styleId="CommentReference">
    <w:name w:val="annotation reference"/>
    <w:basedOn w:val="DefaultParagraphFont"/>
    <w:rsid w:val="00F34B01"/>
    <w:rPr>
      <w:sz w:val="16"/>
      <w:szCs w:val="16"/>
    </w:rPr>
  </w:style>
  <w:style w:type="paragraph" w:styleId="CommentText">
    <w:name w:val="annotation text"/>
    <w:basedOn w:val="Normal"/>
    <w:link w:val="CommentTextChar"/>
    <w:rsid w:val="00F34B01"/>
  </w:style>
  <w:style w:type="character" w:customStyle="1" w:styleId="CommentTextChar">
    <w:name w:val="Comment Text Char"/>
    <w:basedOn w:val="DefaultParagraphFont"/>
    <w:link w:val="CommentText"/>
    <w:rsid w:val="00F34B01"/>
    <w:rPr>
      <w:lang w:eastAsia="en-US"/>
    </w:rPr>
  </w:style>
  <w:style w:type="paragraph" w:styleId="CommentSubject">
    <w:name w:val="annotation subject"/>
    <w:basedOn w:val="CommentText"/>
    <w:next w:val="CommentText"/>
    <w:link w:val="CommentSubjectChar"/>
    <w:rsid w:val="00F34B01"/>
    <w:rPr>
      <w:b/>
      <w:bCs/>
    </w:rPr>
  </w:style>
  <w:style w:type="character" w:customStyle="1" w:styleId="CommentSubjectChar">
    <w:name w:val="Comment Subject Char"/>
    <w:basedOn w:val="CommentTextChar"/>
    <w:link w:val="CommentSubject"/>
    <w:rsid w:val="00F34B0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843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5AIRPNAIUNRU-859666464-1247</_dlc_DocId>
    <_dlc_DocIdUrl xmlns="71c5aaf6-e6ce-465b-b873-5148d2a4c105">
      <Url>https://nokia.sharepoint.com/sites/c5g/e2earch/_layouts/15/DocIdRedir.aspx?ID=5AIRPNAIUNRU-859666464-1247</Url>
      <Description>5AIRPNAIUNRU-859666464-1247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C4426-1192-42CD-A3A2-B38A4070D6A4}">
  <ds:schemaRefs>
    <ds:schemaRef ds:uri="http://schemas.microsoft.com/sharepoint/events"/>
  </ds:schemaRefs>
</ds:datastoreItem>
</file>

<file path=customXml/itemProps2.xml><?xml version="1.0" encoding="utf-8"?>
<ds:datastoreItem xmlns:ds="http://schemas.openxmlformats.org/officeDocument/2006/customXml" ds:itemID="{8502F548-1CDE-4059-97F0-A77B3BCD736B}">
  <ds:schemaRefs>
    <ds:schemaRef ds:uri="http://schemas.microsoft.com/sharepoint/v3/contenttype/forms"/>
  </ds:schemaRefs>
</ds:datastoreItem>
</file>

<file path=customXml/itemProps3.xml><?xml version="1.0" encoding="utf-8"?>
<ds:datastoreItem xmlns:ds="http://schemas.openxmlformats.org/officeDocument/2006/customXml" ds:itemID="{67AD904E-30FA-44E5-B9D9-5C10ED16906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93D4CD4-28E3-44A9-866C-CB0CF17952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B17EE3-67A2-4E1B-B58D-D54DB8F1E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37</TotalTime>
  <Pages>3</Pages>
  <Words>822</Words>
  <Characters>4688</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5500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Keskitalo, Ilkka (Nokia - FI/Oulu)</dc:creator>
  <cp:lastModifiedBy>Dawid</cp:lastModifiedBy>
  <cp:revision>8</cp:revision>
  <dcterms:created xsi:type="dcterms:W3CDTF">2018-01-11T12:53:00Z</dcterms:created>
  <dcterms:modified xsi:type="dcterms:W3CDTF">2018-01-12T07:28:00Z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63dd95c4-2353-4e28-8277-2ac1ceb78c62</vt:lpwstr>
  </property>
  <property fmtid="{D5CDD505-2E9C-101B-9397-08002B2CF9AE}" pid="4" name="_NewReviewCycle">
    <vt:lpwstr/>
  </property>
  <property fmtid="{D5CDD505-2E9C-101B-9397-08002B2CF9AE}" pid="5" name="_AdHocReviewCycleID">
    <vt:i4>1165042896</vt:i4>
  </property>
  <property fmtid="{D5CDD505-2E9C-101B-9397-08002B2CF9AE}" pid="6" name="_EmailSubject">
    <vt:lpwstr>Draft of Architecture and Protocols: NSA deployment</vt:lpwstr>
  </property>
  <property fmtid="{D5CDD505-2E9C-101B-9397-08002B2CF9AE}" pid="7" name="_AuthorEmail">
    <vt:lpwstr>colin.kahn@nokia-bell-labs.com</vt:lpwstr>
  </property>
  <property fmtid="{D5CDD505-2E9C-101B-9397-08002B2CF9AE}" pid="8" name="_AuthorEmailDisplayName">
    <vt:lpwstr>Kahn, Colin (Nokia - US/Murray Hill)</vt:lpwstr>
  </property>
  <property fmtid="{D5CDD505-2E9C-101B-9397-08002B2CF9AE}" pid="9" name="_ReviewingToolsShownOnce">
    <vt:lpwstr/>
  </property>
</Properties>
</file>